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B0" w:rsidRPr="004A2FB0" w:rsidRDefault="004A2FB0">
      <w:pPr>
        <w:rPr>
          <w:b/>
          <w:sz w:val="28"/>
          <w:szCs w:val="28"/>
        </w:rPr>
      </w:pPr>
      <w:r w:rsidRPr="004A2FB0">
        <w:rPr>
          <w:b/>
          <w:sz w:val="28"/>
          <w:szCs w:val="28"/>
        </w:rPr>
        <w:t xml:space="preserve">IATA data on global air </w:t>
      </w:r>
      <w:proofErr w:type="gramStart"/>
      <w:r w:rsidRPr="004A2FB0">
        <w:rPr>
          <w:b/>
          <w:sz w:val="28"/>
          <w:szCs w:val="28"/>
        </w:rPr>
        <w:t>cargo  month</w:t>
      </w:r>
      <w:proofErr w:type="gramEnd"/>
      <w:r w:rsidRPr="004A2FB0">
        <w:rPr>
          <w:b/>
          <w:sz w:val="28"/>
          <w:szCs w:val="28"/>
        </w:rPr>
        <w:t xml:space="preserve"> by month.  Oct 2012 to Sept 2013</w:t>
      </w:r>
    </w:p>
    <w:p w:rsidR="004A2FB0" w:rsidRDefault="004A2FB0">
      <w:r>
        <w:t xml:space="preserve">Data taken from IATA press </w:t>
      </w:r>
      <w:proofErr w:type="gramStart"/>
      <w:r>
        <w:t>releases  at</w:t>
      </w:r>
      <w:proofErr w:type="gramEnd"/>
      <w:r>
        <w:t xml:space="preserve">    </w:t>
      </w:r>
      <w:hyperlink r:id="rId5" w:history="1">
        <w:r>
          <w:rPr>
            <w:rStyle w:val="Hyperlink"/>
          </w:rPr>
          <w:t>http://www.iata.org/pressroom/pr/Pages/index.aspx</w:t>
        </w:r>
      </w:hyperlink>
    </w:p>
    <w:p w:rsidR="00EB14B9" w:rsidRDefault="00EB14B9" w:rsidP="00EB14B9">
      <w:pPr>
        <w:pStyle w:val="NormalWeb"/>
        <w:shd w:val="clear" w:color="auto" w:fill="FFFFFF"/>
        <w:spacing w:before="0" w:beforeAutospacing="0" w:after="180" w:afterAutospacing="0" w:line="22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global </w:t>
      </w:r>
      <w:r w:rsidRPr="00EB14B9">
        <w:rPr>
          <w:rFonts w:ascii="Arial" w:hAnsi="Arial" w:cs="Arial"/>
          <w:color w:val="000000"/>
        </w:rPr>
        <w:t>Freight Tonne Kilometre growth (FTK growth) month by month:</w:t>
      </w:r>
    </w:p>
    <w:p w:rsidR="00EB14B9" w:rsidRPr="00EB14B9" w:rsidRDefault="00EB14B9" w:rsidP="00EB14B9">
      <w:pPr>
        <w:pStyle w:val="NormalWeb"/>
        <w:shd w:val="clear" w:color="auto" w:fill="FFFFFF"/>
        <w:spacing w:before="0" w:beforeAutospacing="0" w:after="180" w:afterAutospacing="0" w:line="225" w:lineRule="atLeast"/>
        <w:rPr>
          <w:rFonts w:ascii="Arial" w:hAnsi="Arial" w:cs="Arial"/>
          <w:color w:val="000000"/>
        </w:rPr>
      </w:pPr>
      <w:r w:rsidRPr="00EB14B9">
        <w:rPr>
          <w:rFonts w:ascii="Arial" w:hAnsi="Arial" w:cs="Arial"/>
          <w:color w:val="000000"/>
        </w:rPr>
        <w:br/>
        <w:t>Sept 2013      + 0.5%</w:t>
      </w:r>
      <w:r w:rsidRPr="00EB14B9">
        <w:rPr>
          <w:rFonts w:ascii="Arial" w:hAnsi="Arial" w:cs="Arial"/>
          <w:color w:val="000000"/>
        </w:rPr>
        <w:br/>
        <w:t>Aug 2013       + 3.6%</w:t>
      </w:r>
      <w:r w:rsidRPr="00EB14B9">
        <w:rPr>
          <w:rFonts w:ascii="Arial" w:hAnsi="Arial" w:cs="Arial"/>
          <w:color w:val="000000"/>
        </w:rPr>
        <w:br/>
        <w:t>July 2013       + 1.2%</w:t>
      </w:r>
      <w:r w:rsidRPr="00EB14B9">
        <w:rPr>
          <w:rFonts w:ascii="Arial" w:hAnsi="Arial" w:cs="Arial"/>
          <w:color w:val="000000"/>
        </w:rPr>
        <w:br/>
        <w:t>June 2013     + 1.2%</w:t>
      </w:r>
      <w:r w:rsidRPr="00EB14B9">
        <w:rPr>
          <w:rFonts w:ascii="Arial" w:hAnsi="Arial" w:cs="Arial"/>
          <w:color w:val="000000"/>
        </w:rPr>
        <w:br/>
        <w:t>May 2013       + 0.8%</w:t>
      </w:r>
      <w:r w:rsidRPr="00EB14B9">
        <w:rPr>
          <w:rFonts w:ascii="Arial" w:hAnsi="Arial" w:cs="Arial"/>
          <w:color w:val="000000"/>
        </w:rPr>
        <w:br/>
        <w:t>April 2013</w:t>
      </w:r>
      <w:r>
        <w:rPr>
          <w:rFonts w:ascii="Arial" w:hAnsi="Arial" w:cs="Arial"/>
          <w:color w:val="000000"/>
        </w:rPr>
        <w:t xml:space="preserve">      + 1.4%</w:t>
      </w:r>
      <w:r>
        <w:rPr>
          <w:rFonts w:ascii="Arial" w:hAnsi="Arial" w:cs="Arial"/>
          <w:color w:val="000000"/>
        </w:rPr>
        <w:br/>
        <w:t>Mar</w:t>
      </w:r>
      <w:r w:rsidRPr="00EB14B9">
        <w:rPr>
          <w:rFonts w:ascii="Arial" w:hAnsi="Arial" w:cs="Arial"/>
          <w:color w:val="000000"/>
        </w:rPr>
        <w:t xml:space="preserve"> 2013  </w:t>
      </w:r>
      <w:r>
        <w:rPr>
          <w:rFonts w:ascii="Arial" w:hAnsi="Arial" w:cs="Arial"/>
          <w:color w:val="000000"/>
        </w:rPr>
        <w:t xml:space="preserve">    </w:t>
      </w:r>
      <w:bookmarkStart w:id="0" w:name="_GoBack"/>
      <w:bookmarkEnd w:id="0"/>
      <w:r w:rsidRPr="00EB14B9">
        <w:rPr>
          <w:rFonts w:ascii="Arial" w:hAnsi="Arial" w:cs="Arial"/>
          <w:color w:val="000000"/>
        </w:rPr>
        <w:t xml:space="preserve"> – 2.3%</w:t>
      </w:r>
      <w:r w:rsidRPr="00EB14B9">
        <w:rPr>
          <w:rFonts w:ascii="Arial" w:hAnsi="Arial" w:cs="Arial"/>
          <w:color w:val="000000"/>
        </w:rPr>
        <w:br/>
        <w:t>Feb 2013       – 6.2%</w:t>
      </w:r>
      <w:r w:rsidRPr="00EB14B9">
        <w:rPr>
          <w:rFonts w:ascii="Arial" w:hAnsi="Arial" w:cs="Arial"/>
          <w:color w:val="000000"/>
        </w:rPr>
        <w:br/>
        <w:t>Jan 2013       + 5.0%</w:t>
      </w:r>
      <w:r w:rsidRPr="00EB14B9">
        <w:rPr>
          <w:rFonts w:ascii="Arial" w:hAnsi="Arial" w:cs="Arial"/>
          <w:color w:val="000000"/>
        </w:rPr>
        <w:br/>
        <w:t>Dec 2012       – 0.3%</w:t>
      </w:r>
      <w:r w:rsidRPr="00EB14B9">
        <w:rPr>
          <w:rFonts w:ascii="Arial" w:hAnsi="Arial" w:cs="Arial"/>
          <w:color w:val="000000"/>
        </w:rPr>
        <w:br/>
        <w:t>Nov 2012       + 1.6%</w:t>
      </w:r>
      <w:r w:rsidRPr="00EB14B9">
        <w:rPr>
          <w:rFonts w:ascii="Arial" w:hAnsi="Arial" w:cs="Arial"/>
          <w:color w:val="000000"/>
        </w:rPr>
        <w:br/>
        <w:t>Oct 2012        - 3.5%</w:t>
      </w:r>
    </w:p>
    <w:p w:rsidR="004A2FB0" w:rsidRDefault="004A2FB0"/>
    <w:p w:rsidR="00C27195" w:rsidRDefault="007E513F">
      <w:r>
        <w:rPr>
          <w:noProof/>
          <w:lang w:eastAsia="en-GB"/>
        </w:rPr>
        <w:drawing>
          <wp:inline distT="0" distB="0" distL="0" distR="0">
            <wp:extent cx="5429250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E513F" w:rsidRDefault="007E513F">
      <w:r>
        <w:t>================================================================================</w:t>
      </w:r>
    </w:p>
    <w:p w:rsidR="007E513F" w:rsidRDefault="007E513F">
      <w:r>
        <w:rPr>
          <w:noProof/>
          <w:lang w:eastAsia="en-GB"/>
        </w:rPr>
        <w:drawing>
          <wp:inline distT="0" distB="0" distL="0" distR="0">
            <wp:extent cx="5734050" cy="2428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13F" w:rsidRDefault="007E513F">
      <w:r>
        <w:t>================================================================================</w:t>
      </w:r>
    </w:p>
    <w:p w:rsidR="007E513F" w:rsidRDefault="007E513F">
      <w:r>
        <w:rPr>
          <w:noProof/>
          <w:lang w:eastAsia="en-GB"/>
        </w:rPr>
        <w:lastRenderedPageBreak/>
        <w:drawing>
          <wp:inline distT="0" distB="0" distL="0" distR="0">
            <wp:extent cx="5724525" cy="2590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13F" w:rsidRDefault="007E513F" w:rsidP="007E513F">
      <w:r>
        <w:t>================================================================================</w:t>
      </w:r>
    </w:p>
    <w:p w:rsidR="007E513F" w:rsidRDefault="007E513F"/>
    <w:p w:rsidR="007E513F" w:rsidRDefault="007E513F" w:rsidP="007E513F">
      <w:r>
        <w:rPr>
          <w:noProof/>
          <w:lang w:eastAsia="en-GB"/>
        </w:rPr>
        <w:drawing>
          <wp:inline distT="0" distB="0" distL="0" distR="0" wp14:anchorId="0C70C7AF" wp14:editId="5DA9435D">
            <wp:extent cx="5724525" cy="2743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>================================================================================</w:t>
      </w:r>
    </w:p>
    <w:p w:rsidR="007E513F" w:rsidRDefault="007E513F"/>
    <w:p w:rsidR="007E513F" w:rsidRDefault="007E513F">
      <w:r>
        <w:rPr>
          <w:noProof/>
          <w:lang w:eastAsia="en-GB"/>
        </w:rPr>
        <w:lastRenderedPageBreak/>
        <w:drawing>
          <wp:inline distT="0" distB="0" distL="0" distR="0">
            <wp:extent cx="5724525" cy="2724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================================================================================</w:t>
      </w:r>
    </w:p>
    <w:p w:rsidR="007E513F" w:rsidRDefault="007E513F">
      <w:r>
        <w:rPr>
          <w:noProof/>
          <w:lang w:eastAsia="en-GB"/>
        </w:rPr>
        <w:drawing>
          <wp:inline distT="0" distB="0" distL="0" distR="0">
            <wp:extent cx="5724525" cy="2714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06" w:rsidRDefault="00FF5606" w:rsidP="00FF5606">
      <w:r>
        <w:t>================================================================================</w:t>
      </w:r>
    </w:p>
    <w:p w:rsidR="00FF5606" w:rsidRDefault="00FF5606" w:rsidP="00FF5606">
      <w:r>
        <w:rPr>
          <w:noProof/>
          <w:lang w:eastAsia="en-GB"/>
        </w:rPr>
        <w:drawing>
          <wp:inline distT="0" distB="0" distL="0" distR="0">
            <wp:extent cx="5734050" cy="2714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================================================================================</w:t>
      </w:r>
    </w:p>
    <w:p w:rsidR="00FF5606" w:rsidRDefault="00A8309C">
      <w:r>
        <w:rPr>
          <w:noProof/>
          <w:lang w:eastAsia="en-GB"/>
        </w:rPr>
        <w:lastRenderedPageBreak/>
        <w:drawing>
          <wp:inline distT="0" distB="0" distL="0" distR="0">
            <wp:extent cx="5724525" cy="29622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06" w:rsidRDefault="00FF5606" w:rsidP="00FF5606">
      <w:r>
        <w:t>================================================================================</w:t>
      </w:r>
    </w:p>
    <w:p w:rsidR="00FF5606" w:rsidRDefault="00A8309C">
      <w:r>
        <w:rPr>
          <w:noProof/>
          <w:lang w:eastAsia="en-GB"/>
        </w:rPr>
        <w:drawing>
          <wp:inline distT="0" distB="0" distL="0" distR="0">
            <wp:extent cx="5724525" cy="2762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06" w:rsidRDefault="00FF5606"/>
    <w:p w:rsidR="00FF5606" w:rsidRDefault="00FF5606" w:rsidP="00FF5606">
      <w:r>
        <w:t>================================================================================</w:t>
      </w:r>
    </w:p>
    <w:p w:rsidR="006F54AE" w:rsidRDefault="006F54AE" w:rsidP="006F54AE">
      <w:r>
        <w:rPr>
          <w:noProof/>
          <w:lang w:eastAsia="en-GB"/>
        </w:rPr>
        <w:lastRenderedPageBreak/>
        <w:drawing>
          <wp:inline distT="0" distB="0" distL="0" distR="0">
            <wp:extent cx="5724525" cy="27336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================================================================================</w:t>
      </w:r>
    </w:p>
    <w:p w:rsidR="006F54AE" w:rsidRDefault="006F54AE">
      <w:r>
        <w:t xml:space="preserve"> </w:t>
      </w:r>
      <w:r>
        <w:rPr>
          <w:noProof/>
          <w:lang w:eastAsia="en-GB"/>
        </w:rPr>
        <w:drawing>
          <wp:inline distT="0" distB="0" distL="0" distR="0">
            <wp:extent cx="5724525" cy="26098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AE" w:rsidRDefault="006F54AE" w:rsidP="006F54AE">
      <w:r>
        <w:t>================================================================================</w:t>
      </w:r>
    </w:p>
    <w:p w:rsidR="006F54AE" w:rsidRDefault="006F54AE">
      <w:r>
        <w:rPr>
          <w:noProof/>
          <w:lang w:eastAsia="en-GB"/>
        </w:rPr>
        <w:drawing>
          <wp:inline distT="0" distB="0" distL="0" distR="0">
            <wp:extent cx="5724525" cy="2562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4AE" w:rsidSect="004400FD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3F"/>
    <w:rsid w:val="004400FD"/>
    <w:rsid w:val="004A2FB0"/>
    <w:rsid w:val="006F54AE"/>
    <w:rsid w:val="007E513F"/>
    <w:rsid w:val="00A8309C"/>
    <w:rsid w:val="00C27195"/>
    <w:rsid w:val="00EB14B9"/>
    <w:rsid w:val="00F73048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A2F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A2F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iata.org/pressroom/pr/Pages/index.aspx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2013-10-30T11:05:00Z</dcterms:created>
  <dcterms:modified xsi:type="dcterms:W3CDTF">2013-10-30T12:53:00Z</dcterms:modified>
</cp:coreProperties>
</file>